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CE45F0" w:rsidP="00CE45F0">
            <w:pPr>
              <w:suppressAutoHyphens/>
              <w:spacing w:after="0" w:line="240" w:lineRule="auto"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="00CB1966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 xml:space="preserve">Администрация </w:t>
            </w:r>
            <w:r w:rsidR="003733CF">
              <w:rPr>
                <w:rFonts w:ascii="Times New Roman" w:hAnsi="Times New Roman"/>
                <w:b/>
                <w:sz w:val="36"/>
                <w:szCs w:val="28"/>
              </w:rPr>
              <w:t>муниципального</w:t>
            </w: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62B3" w:rsidRPr="00A35A4A" w:rsidRDefault="00FF62B3" w:rsidP="00FF62B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5B0C6F" w:rsidTr="00443BAF">
        <w:tc>
          <w:tcPr>
            <w:tcW w:w="10173" w:type="dxa"/>
            <w:shd w:val="clear" w:color="auto" w:fill="auto"/>
          </w:tcPr>
          <w:p w:rsidR="00541C11" w:rsidRPr="005B0C6F" w:rsidRDefault="00007260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10.03.2026</w:t>
            </w:r>
            <w:r w:rsidR="00FD1026" w:rsidRPr="005B0C6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41C11" w:rsidRPr="005B0C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  <w:p w:rsidR="001B09B3" w:rsidRPr="005B0C6F" w:rsidRDefault="001B09B3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09B3" w:rsidRPr="00FF62B3" w:rsidRDefault="00FF62B3" w:rsidP="00FF62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2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технического задания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разработку </w:t>
      </w:r>
      <w:r w:rsidRPr="00FF62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инвестиционной программы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59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развитию системы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D59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водоснабжения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7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округа Воротынский Нижегородской области</w:t>
      </w:r>
      <w:r w:rsidR="00350DD0" w:rsidRPr="00350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0DD0"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</w:t>
      </w:r>
      <w:r w:rsidR="003733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350DD0"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-20</w:t>
      </w:r>
      <w:r w:rsidR="003733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30</w:t>
      </w:r>
      <w:r w:rsidR="00350DD0"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 для МУП «Воротынское ЖКХ»</w:t>
      </w:r>
      <w:r w:rsidR="000356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F62B3" w:rsidRDefault="00FF62B3" w:rsidP="00FF62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62B3" w:rsidRDefault="00FF62B3" w:rsidP="00FF62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62B3" w:rsidRPr="009C57E4" w:rsidRDefault="00FF62B3" w:rsidP="00FF62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пунктом 6 статьи 6 Федерального закона от 07.12.2011 № 416-ФЗ «О водоснабжении и водоотведении»</w:t>
      </w:r>
      <w:r w:rsidR="00350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</w:t>
      </w:r>
      <w:r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дминистрация 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 Воротынский Нижегородской области </w:t>
      </w:r>
      <w:proofErr w:type="gramStart"/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50D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F62B3" w:rsidRPr="002D5994" w:rsidRDefault="006A2117" w:rsidP="0060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57E4">
        <w:rPr>
          <w:rFonts w:ascii="Times New Roman" w:hAnsi="Times New Roman"/>
          <w:sz w:val="28"/>
          <w:szCs w:val="28"/>
        </w:rPr>
        <w:t>1</w:t>
      </w:r>
      <w:r w:rsidR="00FF62B3" w:rsidRPr="009C57E4">
        <w:rPr>
          <w:rFonts w:ascii="Times New Roman" w:hAnsi="Times New Roman"/>
          <w:sz w:val="28"/>
          <w:szCs w:val="28"/>
        </w:rPr>
        <w:t>.</w:t>
      </w:r>
      <w:r w:rsidR="00605B71">
        <w:rPr>
          <w:rFonts w:ascii="Times New Roman" w:hAnsi="Times New Roman"/>
          <w:sz w:val="28"/>
          <w:szCs w:val="28"/>
        </w:rPr>
        <w:t xml:space="preserve">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="00350D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прилагаемое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техническое задание на разработку  инвестиционной программы по развитию системы водоснабжения </w:t>
      </w:r>
      <w:r w:rsidR="003733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="00FF62B3" w:rsidRPr="009C57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округа Воротынский Нижегородской области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="00FF62B3" w:rsidRPr="002D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 для МУП «</w:t>
      </w:r>
      <w:r w:rsidR="00FF62B3" w:rsidRPr="009C57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Воротынское </w:t>
      </w:r>
      <w:r w:rsidR="003C4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ЖКХ».</w:t>
      </w:r>
    </w:p>
    <w:p w:rsidR="00CB1966" w:rsidRPr="00CB1966" w:rsidRDefault="00CB1966" w:rsidP="00605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966">
        <w:rPr>
          <w:rFonts w:ascii="Times New Roman" w:hAnsi="Times New Roman"/>
          <w:sz w:val="28"/>
          <w:szCs w:val="28"/>
        </w:rPr>
        <w:t xml:space="preserve">2. </w:t>
      </w:r>
      <w:r w:rsidR="00605B71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05B71"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 w:rsidR="00605B71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в сети Интернет https://vorotynets.nobl.ru/</w:t>
      </w:r>
      <w:r w:rsidR="005E0DFF">
        <w:rPr>
          <w:rFonts w:ascii="Times New Roman" w:hAnsi="Times New Roman"/>
          <w:sz w:val="28"/>
          <w:szCs w:val="28"/>
        </w:rPr>
        <w:t>.</w:t>
      </w:r>
    </w:p>
    <w:p w:rsidR="00CB1966" w:rsidRPr="00CB1966" w:rsidRDefault="00CB1966" w:rsidP="00605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B1966">
        <w:rPr>
          <w:rFonts w:ascii="Times New Roman" w:hAnsi="Times New Roman"/>
          <w:sz w:val="28"/>
          <w:szCs w:val="28"/>
        </w:rPr>
        <w:t xml:space="preserve">. </w:t>
      </w:r>
      <w:r w:rsidR="00605B71">
        <w:rPr>
          <w:rFonts w:ascii="Times New Roman" w:hAnsi="Times New Roman"/>
          <w:sz w:val="28"/>
          <w:szCs w:val="28"/>
        </w:rPr>
        <w:t xml:space="preserve">    </w:t>
      </w:r>
      <w:r w:rsidRPr="00CB1966">
        <w:rPr>
          <w:rFonts w:ascii="Times New Roman" w:hAnsi="Times New Roman"/>
          <w:sz w:val="28"/>
          <w:szCs w:val="28"/>
        </w:rPr>
        <w:t>Постановление вс</w:t>
      </w:r>
      <w:r>
        <w:rPr>
          <w:rFonts w:ascii="Times New Roman" w:hAnsi="Times New Roman"/>
          <w:sz w:val="28"/>
          <w:szCs w:val="28"/>
        </w:rPr>
        <w:t>тупает в силу со дня подписания и распространяется на правоотношения</w:t>
      </w:r>
      <w:r w:rsidR="005E0DFF">
        <w:rPr>
          <w:rFonts w:ascii="Times New Roman" w:hAnsi="Times New Roman"/>
          <w:sz w:val="28"/>
          <w:szCs w:val="28"/>
        </w:rPr>
        <w:t>, возникшие с 01.03.2026.</w:t>
      </w:r>
    </w:p>
    <w:p w:rsidR="003826BD" w:rsidRPr="009C57E4" w:rsidRDefault="00CB1966" w:rsidP="00605B7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5B71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51F5B" w:rsidRPr="009C57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1F5B" w:rsidRPr="009C57E4"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9C57E4">
        <w:rPr>
          <w:rFonts w:ascii="Times New Roman" w:hAnsi="Times New Roman"/>
          <w:sz w:val="28"/>
          <w:szCs w:val="28"/>
        </w:rPr>
        <w:t xml:space="preserve"> </w:t>
      </w:r>
      <w:r w:rsidR="00BF37DB">
        <w:rPr>
          <w:rFonts w:ascii="Times New Roman" w:hAnsi="Times New Roman"/>
          <w:sz w:val="28"/>
          <w:szCs w:val="28"/>
        </w:rPr>
        <w:t>настоящего постановления</w:t>
      </w:r>
      <w:r w:rsidR="004659E3" w:rsidRPr="009C57E4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-</w:t>
      </w:r>
      <w:r w:rsidR="003826BD" w:rsidRPr="009C57E4">
        <w:rPr>
          <w:rFonts w:ascii="Times New Roman" w:hAnsi="Times New Roman"/>
          <w:sz w:val="28"/>
          <w:szCs w:val="28"/>
        </w:rPr>
        <w:t xml:space="preserve"> начальника отдела по</w:t>
      </w:r>
      <w:r w:rsidR="00C24CFA" w:rsidRPr="009C57E4">
        <w:rPr>
          <w:rFonts w:ascii="Times New Roman" w:hAnsi="Times New Roman"/>
          <w:sz w:val="28"/>
          <w:szCs w:val="28"/>
        </w:rPr>
        <w:t xml:space="preserve"> строительству</w:t>
      </w:r>
      <w:r w:rsidR="001B09B3" w:rsidRPr="009C57E4">
        <w:rPr>
          <w:rFonts w:ascii="Times New Roman" w:hAnsi="Times New Roman"/>
          <w:sz w:val="28"/>
          <w:szCs w:val="28"/>
        </w:rPr>
        <w:t>,</w:t>
      </w:r>
      <w:r w:rsidR="00C24CFA" w:rsidRPr="009C57E4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9C57E4">
        <w:rPr>
          <w:rFonts w:ascii="Times New Roman" w:hAnsi="Times New Roman"/>
          <w:sz w:val="28"/>
          <w:szCs w:val="28"/>
        </w:rPr>
        <w:t xml:space="preserve"> и ж</w:t>
      </w:r>
      <w:r w:rsidR="004659E3" w:rsidRPr="009C57E4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9C57E4">
        <w:rPr>
          <w:rFonts w:ascii="Times New Roman" w:hAnsi="Times New Roman"/>
          <w:sz w:val="28"/>
          <w:szCs w:val="28"/>
        </w:rPr>
        <w:t xml:space="preserve">дминистрации </w:t>
      </w:r>
      <w:r w:rsidR="003733CF">
        <w:rPr>
          <w:rFonts w:ascii="Times New Roman" w:hAnsi="Times New Roman"/>
          <w:sz w:val="28"/>
          <w:szCs w:val="28"/>
        </w:rPr>
        <w:t>муниципального</w:t>
      </w:r>
      <w:r w:rsidR="004659E3" w:rsidRPr="009C57E4">
        <w:rPr>
          <w:rFonts w:ascii="Times New Roman" w:hAnsi="Times New Roman"/>
          <w:sz w:val="28"/>
          <w:szCs w:val="28"/>
        </w:rPr>
        <w:t xml:space="preserve"> округа Воротынский</w:t>
      </w:r>
      <w:r w:rsidR="003826BD" w:rsidRPr="009C57E4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733CF">
        <w:rPr>
          <w:rFonts w:ascii="Times New Roman" w:hAnsi="Times New Roman"/>
          <w:sz w:val="28"/>
          <w:szCs w:val="28"/>
        </w:rPr>
        <w:t>А.В. Егорова</w:t>
      </w:r>
      <w:r w:rsidR="003826BD" w:rsidRPr="009C57E4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FF62B3" w:rsidRPr="002D5994" w:rsidTr="00815D5D">
        <w:trPr>
          <w:tblCellSpacing w:w="15" w:type="dxa"/>
        </w:trPr>
        <w:tc>
          <w:tcPr>
            <w:tcW w:w="9855" w:type="dxa"/>
            <w:vAlign w:val="center"/>
            <w:hideMark/>
          </w:tcPr>
          <w:p w:rsidR="002D5994" w:rsidRPr="002D5994" w:rsidRDefault="00007260" w:rsidP="00815D5D">
            <w:pPr>
              <w:spacing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B09B3" w:rsidRPr="003826BD" w:rsidRDefault="001B09B3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1B09B3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 w:rsidR="00443BAF">
        <w:rPr>
          <w:rFonts w:ascii="Times New Roman" w:hAnsi="Times New Roman"/>
          <w:sz w:val="28"/>
          <w:szCs w:val="28"/>
        </w:rPr>
        <w:tab/>
      </w:r>
    </w:p>
    <w:p w:rsidR="004659E3" w:rsidRDefault="003733CF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4659E3">
        <w:rPr>
          <w:rFonts w:ascii="Times New Roman" w:hAnsi="Times New Roman"/>
          <w:sz w:val="28"/>
          <w:szCs w:val="28"/>
        </w:rPr>
        <w:t xml:space="preserve">округа Воротынский </w:t>
      </w:r>
    </w:p>
    <w:p w:rsidR="005B0C6F" w:rsidRDefault="004659E3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</w:t>
      </w:r>
      <w:r w:rsidR="00CE298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B3067">
        <w:rPr>
          <w:rFonts w:ascii="Times New Roman" w:hAnsi="Times New Roman"/>
          <w:sz w:val="28"/>
          <w:szCs w:val="28"/>
        </w:rPr>
        <w:t>А.А. С</w:t>
      </w:r>
      <w:r w:rsidR="003733CF">
        <w:rPr>
          <w:rFonts w:ascii="Times New Roman" w:hAnsi="Times New Roman"/>
          <w:sz w:val="28"/>
          <w:szCs w:val="28"/>
        </w:rPr>
        <w:t>авельев</w:t>
      </w:r>
    </w:p>
    <w:p w:rsidR="005B0C6F" w:rsidRDefault="005B0C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0C6F" w:rsidRPr="005B0C6F" w:rsidRDefault="00CB3166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CB3166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5B0C6F" w:rsidRPr="005B0C6F" w:rsidRDefault="003733C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5B0C6F" w:rsidRPr="005B0C6F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Воротынский </w:t>
      </w:r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:rsidR="005B0C6F" w:rsidRPr="005B0C6F" w:rsidRDefault="00007260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B316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10.03.2026 № 136</w:t>
      </w:r>
      <w:bookmarkStart w:id="0" w:name="_GoBack"/>
      <w:bookmarkEnd w:id="0"/>
    </w:p>
    <w:p w:rsidR="005B0C6F" w:rsidRPr="005B0C6F" w:rsidRDefault="005B0C6F" w:rsidP="005B0C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ЗАДАНИЕ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разработку инвестиционной программы по развитию системы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водоснабжения </w:t>
      </w:r>
      <w:r w:rsidR="003733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Pr="005B0C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округа Воротынский Нижегородской области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 для МУП «Воротынское ЖКХ»</w:t>
      </w:r>
    </w:p>
    <w:p w:rsidR="005B0C6F" w:rsidRPr="005B0C6F" w:rsidRDefault="005B0C6F" w:rsidP="005B0C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605B71" w:rsidRDefault="005B0C6F" w:rsidP="00994D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5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</w:p>
    <w:p w:rsidR="005B0C6F" w:rsidRPr="00994DCC" w:rsidRDefault="005B0C6F" w:rsidP="00994DCC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Техническое задание разработано в соответствии с Федеральным законом от 07.12.2011 №416-ФЗ </w:t>
      </w:r>
      <w:r w:rsidR="00994DCC"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водоснабжении и водоотведении</w:t>
      </w:r>
      <w:r w:rsidR="00994DCC"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постановлением Правительства РФ от 29.07.2013 №641 "Об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994DCC"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 и предусматривает задание на разработку инвестиционной программы по развитию системы водоснабжения </w:t>
      </w:r>
      <w:r w:rsidR="003733CF"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 Воротынский Нижегородской области на 20</w:t>
      </w:r>
      <w:r w:rsidR="003733CF"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26-2030</w:t>
      </w:r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 для МУП «Воротынское ЖКХ» (далее - техническое задание</w:t>
      </w:r>
      <w:proofErr w:type="gramEnd"/>
      <w:r w:rsidRPr="00994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разработано для муниципального унитарного  предприятия «Воротынское ЖКХ».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2. Основание для разработки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Федеральный закон от 07.12.2011 №416 - ФЗ «О водоснабжении и водоотведении».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Федеральный закон от 30.12.2004 №210 - ФЗ «Об основах  регулирования тарифов организаций коммунального комплекса».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Федеральный закон от 23.11.2009 № 261- ФЗ «Об энергосбережении и о повышении энергетической эффективности и о внесении изменений в отдельные  законодательные акты Российской Федерации».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Постановление Правительства Российской Федерации от 29.07.2013 №641 «Об инвестиционных и производственных программах организаций, осуществляющих деятельность в сфере водоснабжения и водоотведения».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Приказ Министерства регионального развития Российской Федерации от 10.10.2007 №99 «Об утверждении Методических рекомендаций по разработке инвестиционных программ организаций коммунального комплекса».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Приказ Министерства регионального развития Российской Федерации от 10.10.2007 №100 «Об утверждении Методических рекомендаций по подготовке  технических заданий по разработке инвестиционных программ организаций коммунального комплекса».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Цели и задачи разработки и реализации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Инвестиционная программа разрабатывается в целях: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3.1.1. Повышения качества питьевой воды, качества очистки сточных вод;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3.1.2. Повышения качества обслуживания абонентов.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Инвестиционная программа направлена на решение следующих задач: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3.2.1. Повышение технической оснащенности систем коммунальной инфраструктуры – приобретение и внедрение новой техники и технологий;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3.2.2. Модернизация существующих объектов систем коммунальной инфраструктуры;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3.2.3. Осуществление строительства, реконструкции и замены водопроводных сетей в соответствии с разработанной проектной документацией.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Инвестиционная программа должна содержать мероприятия модернизации системы водоснабжения </w:t>
      </w:r>
      <w:r w:rsidR="003733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Pr="005B0C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округа Воротынский Нижегородской области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реализацией мероприятий по приведению качества питьевой воды в соответствие с установленными требованиями гигиенических нормативов.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Требования к инвестиционной программе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Инвестиционная программа должна содержать: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 Паспорт инвестиционной программы, включающий следующую информацию: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наименование регулируемой организации, ее местонахождение и контакты лиц, ответственных за разработку инвестиционной программы;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 наименование уполномоченного органа, утвердившего инвестиционную программу, его местонахождение;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 наименование органа местного самоуправления, согласующего инвестиционную программу (при необходимости), его местонахождение;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наименование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согласовавшего план мероприятий;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4.1.2. Целевые показатели деятельности регулируемой организации;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4.1.3.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мероприятий по подготовке проектной документации, строительству, реконструкции и (или) модернизации объектов централизованных  систем водоснабжения, водоотведения краткое описание мероприятий инвестиционной программы, в том числе обоснование их необходимости, описание (место расположения) строящихся, реконструируемых и модернизируемых объектов централизованных систем водоснабжения, водоотведения обеспечивающее однозначную идентификацию таких объектов, основные технические характеристики таких объектов до и после реализации мероприятия;</w:t>
      </w:r>
      <w:proofErr w:type="gramEnd"/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4.1.4. График реализации мероприятий инвестиционной программы, включая график ввода объектов централизованных систем водоснабжения в эксплуатацию;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4.1.5.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 инвестиционной программы;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4.1.6. </w:t>
      </w:r>
      <w:proofErr w:type="gram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уведомлени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 Управления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Нижегородской области в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Лысковском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Воротынском,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Княгининском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Краснооктябрьском,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Пильнинском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Спасском,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Сергачском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Сеченовском</w:t>
      </w:r>
      <w:proofErr w:type="spellEnd"/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районах </w:t>
      </w:r>
      <w:r w:rsidR="003733CF" w:rsidRPr="003733CF">
        <w:rPr>
          <w:rFonts w:ascii="Times New Roman" w:hAnsi="Times New Roman"/>
          <w:sz w:val="28"/>
          <w:szCs w:val="28"/>
        </w:rPr>
        <w:t xml:space="preserve">от 22.01.2020 №52-08-22/03-43-2020, от 25.01.2021 №52-08-22/03-183-2021, от </w:t>
      </w:r>
      <w:r w:rsidR="003733CF" w:rsidRPr="003733CF">
        <w:rPr>
          <w:rFonts w:ascii="Times New Roman" w:hAnsi="Times New Roman"/>
          <w:sz w:val="28"/>
          <w:szCs w:val="28"/>
        </w:rPr>
        <w:lastRenderedPageBreak/>
        <w:t xml:space="preserve">19.01.2022 №52-08-22/03-54-2022, от 20.01.2023  №52-08-22/03-59-202, от 23.01.2024 №52-08-22/03-61-2024, от 27.01.2025 №52-08-22/03-77-2025, от 15.01.2026 №52-08-22/03-39-2026 </w:t>
      </w:r>
      <w:r w:rsidRP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учесть   мероприятия по приведению  качества питьевой воды в </w:t>
      </w:r>
      <w:r w:rsidR="003733CF" w:rsidRPr="003733CF">
        <w:rPr>
          <w:rFonts w:ascii="Times New Roman" w:hAnsi="Times New Roman"/>
          <w:sz w:val="28"/>
          <w:szCs w:val="28"/>
        </w:rPr>
        <w:t>п. Лысая Гора</w:t>
      </w:r>
      <w:proofErr w:type="gramEnd"/>
      <w:r w:rsidR="003733CF" w:rsidRPr="003733C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733CF" w:rsidRPr="003733CF">
        <w:rPr>
          <w:rFonts w:ascii="Times New Roman" w:hAnsi="Times New Roman"/>
          <w:sz w:val="28"/>
          <w:szCs w:val="28"/>
        </w:rPr>
        <w:t xml:space="preserve">д. Варварино, д. Надеждино, с. </w:t>
      </w:r>
      <w:proofErr w:type="spellStart"/>
      <w:r w:rsidR="003733CF" w:rsidRPr="003733CF">
        <w:rPr>
          <w:rFonts w:ascii="Times New Roman" w:hAnsi="Times New Roman"/>
          <w:sz w:val="28"/>
          <w:szCs w:val="28"/>
        </w:rPr>
        <w:t>Белавка</w:t>
      </w:r>
      <w:proofErr w:type="spellEnd"/>
      <w:r w:rsidR="003733CF" w:rsidRPr="003733CF">
        <w:rPr>
          <w:rFonts w:ascii="Times New Roman" w:hAnsi="Times New Roman"/>
          <w:sz w:val="28"/>
          <w:szCs w:val="28"/>
        </w:rPr>
        <w:t xml:space="preserve">, с. Отары, д. Ивановка, с. Михайловское, с. Чугуны, с. Криуши, </w:t>
      </w:r>
      <w:proofErr w:type="spellStart"/>
      <w:r w:rsidR="003733CF" w:rsidRPr="003733CF">
        <w:rPr>
          <w:rFonts w:ascii="Times New Roman" w:hAnsi="Times New Roman"/>
          <w:sz w:val="28"/>
          <w:szCs w:val="28"/>
        </w:rPr>
        <w:t>р.п</w:t>
      </w:r>
      <w:proofErr w:type="spellEnd"/>
      <w:r w:rsidR="003733CF" w:rsidRPr="003733CF">
        <w:rPr>
          <w:rFonts w:ascii="Times New Roman" w:hAnsi="Times New Roman"/>
          <w:sz w:val="28"/>
          <w:szCs w:val="28"/>
        </w:rPr>
        <w:t>.</w:t>
      </w:r>
      <w:proofErr w:type="gramEnd"/>
      <w:r w:rsidR="003733CF" w:rsidRPr="003733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33CF" w:rsidRPr="003733CF">
        <w:rPr>
          <w:rFonts w:ascii="Times New Roman" w:hAnsi="Times New Roman"/>
          <w:sz w:val="28"/>
          <w:szCs w:val="28"/>
        </w:rPr>
        <w:t xml:space="preserve">Васильсурск, п. Красный Восток, д. Александровка, д. Никольское, с. </w:t>
      </w:r>
      <w:proofErr w:type="spellStart"/>
      <w:r w:rsidR="003733CF" w:rsidRPr="003733CF">
        <w:rPr>
          <w:rFonts w:ascii="Times New Roman" w:hAnsi="Times New Roman"/>
          <w:sz w:val="28"/>
          <w:szCs w:val="28"/>
        </w:rPr>
        <w:t>Елвашка</w:t>
      </w:r>
      <w:proofErr w:type="spellEnd"/>
      <w:r w:rsidR="003733CF" w:rsidRPr="003733CF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3733CF" w:rsidRPr="003733CF">
        <w:rPr>
          <w:rFonts w:ascii="Times New Roman" w:hAnsi="Times New Roman"/>
          <w:sz w:val="28"/>
          <w:szCs w:val="28"/>
        </w:rPr>
        <w:t>Ахпаевка</w:t>
      </w:r>
      <w:proofErr w:type="spellEnd"/>
      <w:r w:rsidR="003733CF" w:rsidRPr="003733CF">
        <w:rPr>
          <w:rFonts w:ascii="Times New Roman" w:hAnsi="Times New Roman"/>
          <w:sz w:val="28"/>
          <w:szCs w:val="28"/>
        </w:rPr>
        <w:t>, с. Быковка и с. Осинки</w:t>
      </w:r>
      <w:r w:rsidR="003733CF">
        <w:rPr>
          <w:sz w:val="28"/>
          <w:szCs w:val="28"/>
        </w:rPr>
        <w:t xml:space="preserve"> 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 Воротынский Нижегородской области в соответствие с установленными требованиями.        </w:t>
      </w:r>
      <w:proofErr w:type="gramEnd"/>
    </w:p>
    <w:p w:rsidR="00605B71" w:rsidRDefault="00605B71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Сроки разработки инвестиционной программы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Срок разработки инвестиционной программы –  не более трех месяцев с момента утверждения задания на разработку инвестиционной программы по водоснабжению.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Порядок и форма предоставления, рассмотрения и утверждения инвестиционной программы</w:t>
      </w:r>
    </w:p>
    <w:p w:rsidR="005B0C6F" w:rsidRPr="005B0C6F" w:rsidRDefault="005B0C6F" w:rsidP="00605B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6.1. Проект разработанной инвестиционной программы направляется на согласование в администрацию </w:t>
      </w:r>
      <w:r w:rsidR="0037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 Воротынский Нижегородской области.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Согласование, утверждение и корректировка инвестиционной программы, а также урегулирование разногласий при согласовании и утверждении инвестиционных программ осуществляется в порядке, предусмотренном Постановлением Правительства РФ от 29.07.2013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5B0C6F" w:rsidRPr="005B0C6F" w:rsidRDefault="005B0C6F" w:rsidP="005B0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C6F" w:rsidRPr="005B0C6F" w:rsidRDefault="005B0C6F" w:rsidP="005B0C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C6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174629" w:rsidRPr="00174629" w:rsidRDefault="00174629" w:rsidP="001B09B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74629" w:rsidRDefault="00174629" w:rsidP="001B09B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sectPr w:rsidR="00174629" w:rsidSect="00CE2983">
      <w:pgSz w:w="11906" w:h="16838"/>
      <w:pgMar w:top="567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07260"/>
    <w:rsid w:val="00016987"/>
    <w:rsid w:val="00035609"/>
    <w:rsid w:val="000425CB"/>
    <w:rsid w:val="000A6295"/>
    <w:rsid w:val="000F4DB0"/>
    <w:rsid w:val="00133963"/>
    <w:rsid w:val="00141063"/>
    <w:rsid w:val="00157D3A"/>
    <w:rsid w:val="00174629"/>
    <w:rsid w:val="00182DDD"/>
    <w:rsid w:val="001B09B3"/>
    <w:rsid w:val="001C5505"/>
    <w:rsid w:val="001F4797"/>
    <w:rsid w:val="00201260"/>
    <w:rsid w:val="002026F8"/>
    <w:rsid w:val="0026431C"/>
    <w:rsid w:val="002B0E68"/>
    <w:rsid w:val="002B1CA7"/>
    <w:rsid w:val="002D5209"/>
    <w:rsid w:val="002D5A71"/>
    <w:rsid w:val="002F6712"/>
    <w:rsid w:val="00327497"/>
    <w:rsid w:val="00345A54"/>
    <w:rsid w:val="00346D94"/>
    <w:rsid w:val="00350DD0"/>
    <w:rsid w:val="00352872"/>
    <w:rsid w:val="003733CF"/>
    <w:rsid w:val="003826BD"/>
    <w:rsid w:val="003B1FBD"/>
    <w:rsid w:val="003C43B0"/>
    <w:rsid w:val="003E188A"/>
    <w:rsid w:val="00402A1A"/>
    <w:rsid w:val="00406FD1"/>
    <w:rsid w:val="00407EEE"/>
    <w:rsid w:val="00411C8D"/>
    <w:rsid w:val="00413327"/>
    <w:rsid w:val="00443BAF"/>
    <w:rsid w:val="004659E3"/>
    <w:rsid w:val="00473180"/>
    <w:rsid w:val="004A4ACC"/>
    <w:rsid w:val="004B3067"/>
    <w:rsid w:val="004B4D04"/>
    <w:rsid w:val="004C21B9"/>
    <w:rsid w:val="004C4AD3"/>
    <w:rsid w:val="004F1E11"/>
    <w:rsid w:val="005123A7"/>
    <w:rsid w:val="00532C01"/>
    <w:rsid w:val="00541C11"/>
    <w:rsid w:val="005449A8"/>
    <w:rsid w:val="0056365E"/>
    <w:rsid w:val="005834A6"/>
    <w:rsid w:val="005844EE"/>
    <w:rsid w:val="005905A6"/>
    <w:rsid w:val="005A1887"/>
    <w:rsid w:val="005B0C6F"/>
    <w:rsid w:val="005E0DFF"/>
    <w:rsid w:val="005E6373"/>
    <w:rsid w:val="00605B71"/>
    <w:rsid w:val="00606642"/>
    <w:rsid w:val="00625943"/>
    <w:rsid w:val="0064272A"/>
    <w:rsid w:val="0065517A"/>
    <w:rsid w:val="00656302"/>
    <w:rsid w:val="006754F4"/>
    <w:rsid w:val="006A2117"/>
    <w:rsid w:val="006D42D8"/>
    <w:rsid w:val="00742A61"/>
    <w:rsid w:val="0074452B"/>
    <w:rsid w:val="00747B45"/>
    <w:rsid w:val="007505E5"/>
    <w:rsid w:val="0075242D"/>
    <w:rsid w:val="007960DC"/>
    <w:rsid w:val="0080139A"/>
    <w:rsid w:val="00840CE0"/>
    <w:rsid w:val="00841E5B"/>
    <w:rsid w:val="00851F5B"/>
    <w:rsid w:val="008541E3"/>
    <w:rsid w:val="008C588F"/>
    <w:rsid w:val="008C61AF"/>
    <w:rsid w:val="008D39B5"/>
    <w:rsid w:val="008E0F4F"/>
    <w:rsid w:val="00937315"/>
    <w:rsid w:val="00940C90"/>
    <w:rsid w:val="00941A31"/>
    <w:rsid w:val="00987D30"/>
    <w:rsid w:val="00994DCC"/>
    <w:rsid w:val="009A466C"/>
    <w:rsid w:val="009B5709"/>
    <w:rsid w:val="009C57E4"/>
    <w:rsid w:val="00AA1A05"/>
    <w:rsid w:val="00AA388E"/>
    <w:rsid w:val="00AD2881"/>
    <w:rsid w:val="00AE73D6"/>
    <w:rsid w:val="00B127EE"/>
    <w:rsid w:val="00B2017A"/>
    <w:rsid w:val="00B218D5"/>
    <w:rsid w:val="00B617D2"/>
    <w:rsid w:val="00B75975"/>
    <w:rsid w:val="00BA2E03"/>
    <w:rsid w:val="00BF37DB"/>
    <w:rsid w:val="00C216A7"/>
    <w:rsid w:val="00C24CFA"/>
    <w:rsid w:val="00C2568B"/>
    <w:rsid w:val="00C42514"/>
    <w:rsid w:val="00C57C49"/>
    <w:rsid w:val="00C60B4C"/>
    <w:rsid w:val="00C928EC"/>
    <w:rsid w:val="00CB1966"/>
    <w:rsid w:val="00CB3166"/>
    <w:rsid w:val="00CE2983"/>
    <w:rsid w:val="00CE45F0"/>
    <w:rsid w:val="00CF1830"/>
    <w:rsid w:val="00D16806"/>
    <w:rsid w:val="00D76DA1"/>
    <w:rsid w:val="00D76FE4"/>
    <w:rsid w:val="00D81A0A"/>
    <w:rsid w:val="00D84BD7"/>
    <w:rsid w:val="00DC53C7"/>
    <w:rsid w:val="00DD7E08"/>
    <w:rsid w:val="00DE7D81"/>
    <w:rsid w:val="00E07390"/>
    <w:rsid w:val="00E62322"/>
    <w:rsid w:val="00E82B53"/>
    <w:rsid w:val="00EA72D1"/>
    <w:rsid w:val="00EC40A5"/>
    <w:rsid w:val="00EC5970"/>
    <w:rsid w:val="00EF5CAE"/>
    <w:rsid w:val="00F2724C"/>
    <w:rsid w:val="00F47300"/>
    <w:rsid w:val="00F7653A"/>
    <w:rsid w:val="00F84B4D"/>
    <w:rsid w:val="00FA5851"/>
    <w:rsid w:val="00FB4B08"/>
    <w:rsid w:val="00FB541F"/>
    <w:rsid w:val="00FC07F7"/>
    <w:rsid w:val="00FD0D84"/>
    <w:rsid w:val="00FD1026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94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8329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Транцева Екатерина Михайловна</cp:lastModifiedBy>
  <cp:revision>102</cp:revision>
  <cp:lastPrinted>2020-02-04T13:27:00Z</cp:lastPrinted>
  <dcterms:created xsi:type="dcterms:W3CDTF">2019-07-26T06:47:00Z</dcterms:created>
  <dcterms:modified xsi:type="dcterms:W3CDTF">2026-03-16T07:41:00Z</dcterms:modified>
</cp:coreProperties>
</file>